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331ABD" w:rsidRDefault="00C71907">
      <w:pPr>
        <w:rPr>
          <w:b/>
        </w:rPr>
      </w:pPr>
      <w:r w:rsidRPr="00331ABD">
        <w:rPr>
          <w:b/>
        </w:rPr>
        <w:t xml:space="preserve">TV3: Explanation for difference in financial statements of </w:t>
      </w:r>
      <w:r w:rsidR="00DD0CDF" w:rsidRPr="00DD0CDF">
        <w:rPr>
          <w:b/>
        </w:rPr>
        <w:t>Superior accounting unit</w:t>
      </w:r>
    </w:p>
    <w:p w:rsidR="00C71907" w:rsidRDefault="00C71907"/>
    <w:p w:rsidR="00C71907" w:rsidRDefault="00331ABD">
      <w:r>
        <w:t xml:space="preserve">On 13 Mar 2016, </w:t>
      </w:r>
      <w:r w:rsidRPr="00331ABD">
        <w:t>Power Engineering Consunting Joint Stock Company 3</w:t>
      </w:r>
      <w:r>
        <w:t xml:space="preserve"> explained for </w:t>
      </w:r>
      <w:r w:rsidRPr="00331ABD">
        <w:t>difference</w:t>
      </w:r>
      <w:r>
        <w:t>s</w:t>
      </w:r>
      <w:r w:rsidRPr="00331ABD">
        <w:t xml:space="preserve"> in financial statements of general accounting</w:t>
      </w:r>
      <w: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429"/>
        <w:gridCol w:w="1718"/>
        <w:gridCol w:w="1829"/>
        <w:gridCol w:w="1607"/>
        <w:gridCol w:w="1456"/>
      </w:tblGrid>
      <w:tr w:rsidR="00BC4BF0" w:rsidTr="00331ABD">
        <w:tc>
          <w:tcPr>
            <w:tcW w:w="1558" w:type="dxa"/>
          </w:tcPr>
          <w:p w:rsidR="00331ABD" w:rsidRDefault="00331ABD">
            <w:r>
              <w:t>No.</w:t>
            </w:r>
          </w:p>
        </w:tc>
        <w:tc>
          <w:tcPr>
            <w:tcW w:w="1558" w:type="dxa"/>
          </w:tcPr>
          <w:p w:rsidR="00331ABD" w:rsidRDefault="00331ABD">
            <w:r>
              <w:t>Norm</w:t>
            </w:r>
          </w:p>
        </w:tc>
        <w:tc>
          <w:tcPr>
            <w:tcW w:w="1558" w:type="dxa"/>
          </w:tcPr>
          <w:p w:rsidR="00331ABD" w:rsidRDefault="00331ABD">
            <w:r>
              <w:t>2015</w:t>
            </w:r>
          </w:p>
        </w:tc>
        <w:tc>
          <w:tcPr>
            <w:tcW w:w="1558" w:type="dxa"/>
          </w:tcPr>
          <w:p w:rsidR="00331ABD" w:rsidRDefault="00331ABD">
            <w:r>
              <w:t>2016</w:t>
            </w:r>
          </w:p>
        </w:tc>
        <w:tc>
          <w:tcPr>
            <w:tcW w:w="1559" w:type="dxa"/>
          </w:tcPr>
          <w:p w:rsidR="00331ABD" w:rsidRDefault="00331ABD">
            <w:r>
              <w:t>Difference</w:t>
            </w:r>
          </w:p>
        </w:tc>
        <w:tc>
          <w:tcPr>
            <w:tcW w:w="1559" w:type="dxa"/>
          </w:tcPr>
          <w:p w:rsidR="00331ABD" w:rsidRDefault="00331ABD">
            <w:r>
              <w:t>Difference (%)</w:t>
            </w:r>
          </w:p>
        </w:tc>
      </w:tr>
      <w:tr w:rsidR="00BC4BF0" w:rsidTr="00331ABD">
        <w:tc>
          <w:tcPr>
            <w:tcW w:w="1558" w:type="dxa"/>
          </w:tcPr>
          <w:p w:rsidR="00331ABD" w:rsidRDefault="00331ABD">
            <w:r>
              <w:t>a</w:t>
            </w:r>
          </w:p>
        </w:tc>
        <w:tc>
          <w:tcPr>
            <w:tcW w:w="1558" w:type="dxa"/>
          </w:tcPr>
          <w:p w:rsidR="00331ABD" w:rsidRDefault="00331ABD">
            <w:r>
              <w:t>b</w:t>
            </w:r>
          </w:p>
        </w:tc>
        <w:tc>
          <w:tcPr>
            <w:tcW w:w="1558" w:type="dxa"/>
          </w:tcPr>
          <w:p w:rsidR="00331ABD" w:rsidRDefault="00331ABD">
            <w:r>
              <w:t>c</w:t>
            </w:r>
          </w:p>
        </w:tc>
        <w:tc>
          <w:tcPr>
            <w:tcW w:w="1558" w:type="dxa"/>
          </w:tcPr>
          <w:p w:rsidR="00331ABD" w:rsidRDefault="00331ABD">
            <w:r>
              <w:t>d</w:t>
            </w:r>
          </w:p>
        </w:tc>
        <w:tc>
          <w:tcPr>
            <w:tcW w:w="1559" w:type="dxa"/>
          </w:tcPr>
          <w:p w:rsidR="00331ABD" w:rsidRDefault="00331ABD">
            <w:r>
              <w:t>E=(d-c)</w:t>
            </w:r>
          </w:p>
        </w:tc>
        <w:tc>
          <w:tcPr>
            <w:tcW w:w="1559" w:type="dxa"/>
          </w:tcPr>
          <w:p w:rsidR="00331ABD" w:rsidRDefault="00331ABD">
            <w:r>
              <w:t>F=e:c</w:t>
            </w:r>
          </w:p>
        </w:tc>
      </w:tr>
      <w:tr w:rsidR="00BC4BF0" w:rsidTr="00331ABD">
        <w:tc>
          <w:tcPr>
            <w:tcW w:w="1558" w:type="dxa"/>
          </w:tcPr>
          <w:p w:rsidR="00331ABD" w:rsidRDefault="00331ABD">
            <w:r>
              <w:t>1</w:t>
            </w:r>
          </w:p>
        </w:tc>
        <w:tc>
          <w:tcPr>
            <w:tcW w:w="1558" w:type="dxa"/>
          </w:tcPr>
          <w:p w:rsidR="00331ABD" w:rsidRDefault="00331ABD">
            <w:r>
              <w:t>Net Revenue</w:t>
            </w:r>
          </w:p>
        </w:tc>
        <w:tc>
          <w:tcPr>
            <w:tcW w:w="1558" w:type="dxa"/>
          </w:tcPr>
          <w:p w:rsidR="00331ABD" w:rsidRDefault="00BC4BF0">
            <w:r>
              <w:t>251,704,170,397</w:t>
            </w:r>
          </w:p>
        </w:tc>
        <w:tc>
          <w:tcPr>
            <w:tcW w:w="1558" w:type="dxa"/>
          </w:tcPr>
          <w:p w:rsidR="00331ABD" w:rsidRDefault="00BC4BF0">
            <w:r>
              <w:t>2933,907,680,543</w:t>
            </w:r>
          </w:p>
        </w:tc>
        <w:tc>
          <w:tcPr>
            <w:tcW w:w="1559" w:type="dxa"/>
          </w:tcPr>
          <w:p w:rsidR="00331ABD" w:rsidRDefault="00BC4BF0">
            <w:r>
              <w:t>42,203,510,146</w:t>
            </w:r>
          </w:p>
        </w:tc>
        <w:tc>
          <w:tcPr>
            <w:tcW w:w="1559" w:type="dxa"/>
          </w:tcPr>
          <w:p w:rsidR="00331ABD" w:rsidRDefault="00BC4BF0">
            <w:r>
              <w:t>16.77%</w:t>
            </w:r>
          </w:p>
        </w:tc>
      </w:tr>
      <w:tr w:rsidR="00BC4BF0" w:rsidTr="00331ABD">
        <w:tc>
          <w:tcPr>
            <w:tcW w:w="1558" w:type="dxa"/>
          </w:tcPr>
          <w:p w:rsidR="00331ABD" w:rsidRDefault="00331ABD">
            <w:r>
              <w:t>2</w:t>
            </w:r>
          </w:p>
        </w:tc>
        <w:tc>
          <w:tcPr>
            <w:tcW w:w="1558" w:type="dxa"/>
          </w:tcPr>
          <w:p w:rsidR="00331ABD" w:rsidRDefault="00331ABD">
            <w:r>
              <w:t>Profit after tax</w:t>
            </w:r>
          </w:p>
        </w:tc>
        <w:tc>
          <w:tcPr>
            <w:tcW w:w="1558" w:type="dxa"/>
          </w:tcPr>
          <w:p w:rsidR="00331ABD" w:rsidRDefault="00BC4BF0">
            <w:r>
              <w:t>9,966,087,508</w:t>
            </w:r>
          </w:p>
        </w:tc>
        <w:tc>
          <w:tcPr>
            <w:tcW w:w="1558" w:type="dxa"/>
          </w:tcPr>
          <w:p w:rsidR="00331ABD" w:rsidRDefault="00BC4BF0">
            <w:r>
              <w:t>13,422,134,754</w:t>
            </w:r>
          </w:p>
        </w:tc>
        <w:tc>
          <w:tcPr>
            <w:tcW w:w="1559" w:type="dxa"/>
          </w:tcPr>
          <w:p w:rsidR="00331ABD" w:rsidRDefault="00BC4BF0">
            <w:r>
              <w:t>3,456,047,246</w:t>
            </w:r>
          </w:p>
        </w:tc>
        <w:tc>
          <w:tcPr>
            <w:tcW w:w="1559" w:type="dxa"/>
          </w:tcPr>
          <w:p w:rsidR="00331ABD" w:rsidRDefault="00BC4BF0">
            <w:r>
              <w:t>34.38%</w:t>
            </w:r>
          </w:p>
        </w:tc>
      </w:tr>
    </w:tbl>
    <w:p w:rsidR="00331ABD" w:rsidRDefault="00331ABD"/>
    <w:p w:rsidR="00331ABD" w:rsidRPr="00331ABD" w:rsidRDefault="00331ABD" w:rsidP="00331ABD">
      <w:r>
        <w:t xml:space="preserve">Profit after tax of the Company changed </w:t>
      </w:r>
      <w:r w:rsidR="00D70D33">
        <w:t xml:space="preserve">by </w:t>
      </w:r>
      <w:r>
        <w:t>over 10% compared to last period because revenue of 2016 increased by 4</w:t>
      </w:r>
      <w:r w:rsidR="00BC4BF0">
        <w:t>42</w:t>
      </w:r>
      <w:r>
        <w:t xml:space="preserve"> billion dongs, hence profit after tax increase</w:t>
      </w:r>
      <w:r w:rsidR="00D70D33">
        <w:t>d</w:t>
      </w:r>
      <w:r w:rsidR="00231C23">
        <w:t xml:space="preserve"> </w:t>
      </w:r>
      <w:r>
        <w:t>compared to</w:t>
      </w:r>
      <w:r w:rsidR="00BC4BF0">
        <w:t xml:space="preserve"> the same </w:t>
      </w:r>
      <w:r>
        <w:t>period</w:t>
      </w:r>
      <w:r w:rsidR="00BC4BF0">
        <w:t xml:space="preserve"> last year</w:t>
      </w:r>
      <w:bookmarkStart w:id="0" w:name="_GoBack"/>
      <w:bookmarkEnd w:id="0"/>
      <w:r>
        <w:t>.</w:t>
      </w:r>
    </w:p>
    <w:sectPr w:rsidR="00331ABD" w:rsidRPr="0033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7"/>
    <w:rsid w:val="00231C23"/>
    <w:rsid w:val="00331ABD"/>
    <w:rsid w:val="008C0394"/>
    <w:rsid w:val="00BC4BF0"/>
    <w:rsid w:val="00C71907"/>
    <w:rsid w:val="00D70D33"/>
    <w:rsid w:val="00D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BB3AE-379C-447F-ABEF-5C1E65D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3</cp:revision>
  <dcterms:created xsi:type="dcterms:W3CDTF">2017-03-16T05:09:00Z</dcterms:created>
  <dcterms:modified xsi:type="dcterms:W3CDTF">2017-03-16T05:13:00Z</dcterms:modified>
</cp:coreProperties>
</file>